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上饶建筑装配式（工业化）基地项目蒸压粉煤灰加气混凝土砌块报价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470"/>
        <w:gridCol w:w="1733"/>
        <w:gridCol w:w="750"/>
        <w:gridCol w:w="1042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蒸压粉煤灰加气混凝土砌块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600×120×240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m3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蒸压粉煤灰加气混凝土砌块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600×200×240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m3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1226.096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蒸压粉煤灰加气混凝土砌块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600×240×240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m3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4EF7F10"/>
    <w:rsid w:val="18D15CEA"/>
    <w:rsid w:val="1CED2225"/>
    <w:rsid w:val="22AB6654"/>
    <w:rsid w:val="2D596571"/>
    <w:rsid w:val="2E9D42BF"/>
    <w:rsid w:val="332918C8"/>
    <w:rsid w:val="3561444A"/>
    <w:rsid w:val="3C2F71B9"/>
    <w:rsid w:val="4DE44B5E"/>
    <w:rsid w:val="59735485"/>
    <w:rsid w:val="5C1C0489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dcterms:modified xsi:type="dcterms:W3CDTF">2021-07-19T08:46:16Z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